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"/>
        <w:jc w:val="right"/>
        <w:keepNext/>
        <w:spacing w:before="120" w:after="0"/>
        <w:shd w:val="clear" w:color="auto" w:fill="ffffff"/>
        <w:tabs>
          <w:tab w:val="center" w:pos="7568" w:leader="none"/>
          <w:tab w:val="left" w:pos="12960" w:leader="none"/>
        </w:tabs>
        <w:rPr>
          <w:rFonts w:ascii="Times New Roman" w:hAnsi="Times New Roman" w:eastAsia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/>
          <w:sz w:val="28"/>
          <w:szCs w:val="28"/>
          <w:lang w:val="ru-RU" w:eastAsia="ru-RU"/>
        </w:rPr>
        <w:t xml:space="preserve">Приложение №</w:t>
      </w:r>
      <w:r>
        <w:rPr>
          <w:rFonts w:ascii="Times New Roman" w:hAnsi="Times New Roman" w:eastAsia="Times New Roman"/>
          <w:sz w:val="28"/>
          <w:szCs w:val="28"/>
          <w:lang w:val="ru-RU" w:eastAsia="ru-RU"/>
        </w:rPr>
        <w:t xml:space="preserve">2</w:t>
      </w:r>
      <w:r>
        <w:rPr>
          <w:rFonts w:ascii="Times New Roman" w:hAnsi="Times New Roman" w:eastAsia="Times New Roman"/>
          <w:sz w:val="28"/>
          <w:szCs w:val="28"/>
          <w:lang w:val="ru-RU" w:eastAsia="ru-RU"/>
        </w:rPr>
      </w:r>
    </w:p>
    <w:p>
      <w:pPr>
        <w:jc w:val="center"/>
        <w:keepNext/>
        <w:spacing w:after="0"/>
        <w:shd w:val="clear" w:color="auto" w:fill="ffffff"/>
        <w:tabs>
          <w:tab w:val="center" w:pos="7568" w:leader="none"/>
          <w:tab w:val="left" w:pos="12960" w:leader="none"/>
        </w:tabs>
        <w:rPr>
          <w:rFonts w:ascii="Times New Roman" w:hAnsi="Times New Roman" w:eastAsia="Times New Roman"/>
          <w:b/>
          <w:caps/>
          <w:sz w:val="28"/>
          <w:szCs w:val="28"/>
          <w:lang w:val="ru-RU"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Описание товара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 (опросный лист)</w:t>
      </w:r>
      <w:r>
        <w:rPr>
          <w:rFonts w:ascii="Times New Roman" w:hAnsi="Times New Roman" w:eastAsia="Times New Roman"/>
          <w:b/>
          <w:caps/>
          <w:sz w:val="28"/>
          <w:szCs w:val="28"/>
          <w:lang w:val="ru-RU" w:eastAsia="ru-RU"/>
        </w:rPr>
      </w:r>
    </w:p>
    <w:p>
      <w:pPr>
        <w:jc w:val="center"/>
        <w:keepNext/>
        <w:spacing w:after="0"/>
        <w:shd w:val="clear" w:color="auto" w:fill="ffffff"/>
        <w:rPr>
          <w:rFonts w:ascii="Times New Roman" w:hAnsi="Times New Roman" w:eastAsia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на поставку 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портативного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инфракрасного пирометра 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«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Cyclops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C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100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L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»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 в комплекте с дополнительными аксессуарами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.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</w:r>
    </w:p>
    <w:p>
      <w:pPr>
        <w:numPr>
          <w:ilvl w:val="0"/>
          <w:numId w:val="1"/>
        </w:numPr>
        <w:jc w:val="both"/>
        <w:keepNext/>
        <w:spacing w:before="120" w:after="0"/>
        <w:shd w:val="clear" w:color="auto" w:fill="ffffff"/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</w:pPr>
      <w:r/>
      <w:bookmarkStart w:id="0" w:name="_Hlk146723797"/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Технические характеристики 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пирометра 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«</w:t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 xml:space="preserve">Cyclops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 xml:space="preserve">C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100</w:t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 xml:space="preserve">L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»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в комплекте 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с дополнительными аксессуарами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:</w:t>
      </w:r>
      <w:bookmarkEnd w:id="0"/>
      <w:r/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</w:r>
    </w:p>
    <w:tbl>
      <w:tblPr>
        <w:tblW w:w="5081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"/>
        <w:gridCol w:w="2484"/>
        <w:gridCol w:w="5081"/>
        <w:gridCol w:w="1488"/>
      </w:tblGrid>
      <w:tr>
        <w:tblPrEx/>
        <w:trPr>
          <w:trHeight w:val="325"/>
        </w:trPr>
        <w:tc>
          <w:tcPr>
            <w:shd w:val="clear" w:color="auto" w:fill="f2f2f2"/>
            <w:tcBorders>
              <w:right w:val="single" w:color="auto" w:sz="4" w:space="0"/>
            </w:tcBorders>
            <w:tcW w:w="243" w:type="pct"/>
            <w:vAlign w:val="center"/>
            <w:textDirection w:val="lrTb"/>
            <w:noWrap w:val="false"/>
          </w:tcPr>
          <w:p>
            <w:pPr>
              <w:pStyle w:val="631"/>
              <w:jc w:val="center"/>
              <w:spacing w:before="4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2f2f2"/>
            <w:tcBorders>
              <w:left w:val="single" w:color="auto" w:sz="4" w:space="0"/>
              <w:right w:val="single" w:color="auto" w:sz="4" w:space="0"/>
            </w:tcBorders>
            <w:tcW w:w="1321" w:type="pct"/>
            <w:vAlign w:val="center"/>
            <w:textDirection w:val="lrTb"/>
            <w:noWrap w:val="false"/>
          </w:tcPr>
          <w:p>
            <w:pPr>
              <w:pStyle w:val="631"/>
              <w:jc w:val="center"/>
              <w:spacing w:before="4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Характеристики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2f2f2"/>
            <w:tcBorders>
              <w:left w:val="single" w:color="auto" w:sz="4" w:space="0"/>
              <w:right w:val="single" w:color="auto" w:sz="4" w:space="0"/>
            </w:tcBorders>
            <w:tcW w:w="2689" w:type="pct"/>
            <w:vAlign w:val="center"/>
            <w:textDirection w:val="lrTb"/>
            <w:noWrap w:val="false"/>
          </w:tcPr>
          <w:p>
            <w:pPr>
              <w:pStyle w:val="631"/>
              <w:ind w:left="22" w:right="26"/>
              <w:jc w:val="center"/>
              <w:spacing w:before="4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2f2f2"/>
            <w:tcW w:w="747" w:type="pct"/>
            <w:vAlign w:val="center"/>
            <w:textDirection w:val="lrTb"/>
            <w:noWrap w:val="false"/>
          </w:tcPr>
          <w:p>
            <w:pPr>
              <w:pStyle w:val="631"/>
              <w:ind w:left="60" w:right="68"/>
              <w:jc w:val="center"/>
              <w:spacing w:before="4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Предложение участника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7881"/>
        </w:trPr>
        <w:tc>
          <w:tcPr>
            <w:shd w:val="clear" w:color="auto" w:fill="auto"/>
            <w:tcBorders>
              <w:right w:val="single" w:color="auto" w:sz="4" w:space="0"/>
            </w:tcBorders>
            <w:tcW w:w="243" w:type="pct"/>
            <w:vAlign w:val="center"/>
            <w:textDirection w:val="lrTb"/>
            <w:noWrap w:val="false"/>
          </w:tcPr>
          <w:p>
            <w:pPr>
              <w:pStyle w:val="631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321" w:type="pct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Общие характеристики</w:t>
            </w:r>
            <w:r>
              <w:rPr>
                <w:rFonts w:ascii="Times New Roman" w:hAnsi="Times New Roman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689" w:type="pct"/>
            <w:vAlign w:val="center"/>
            <w:textDirection w:val="lrTb"/>
            <w:noWrap w:val="false"/>
          </w:tcPr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</w:pPr>
            <w:r>
              <w:rPr>
                <w:color w:val="auto"/>
                <w:shd w:val="clear" w:color="auto" w:fill="ffffff"/>
              </w:rPr>
              <w:t xml:space="preserve">Режимы измерения: пиковая, непрерывная, средняя и минимальная температуры</w:t>
            </w:r>
            <w:r>
              <w:t xml:space="preserve">;</w:t>
            </w:r>
            <w:r/>
          </w:p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</w:pPr>
            <w:r>
              <w:rPr>
                <w:color w:val="auto"/>
                <w:shd w:val="clear" w:color="auto" w:fill="ffffff"/>
              </w:rPr>
              <w:t xml:space="preserve">Запись данных: 9999 записей и 4 встроенных маршрутов, мобильное (4 </w:t>
            </w:r>
            <w:r>
              <w:rPr>
                <w:color w:val="auto"/>
                <w:shd w:val="clear" w:color="auto" w:fill="ffffff"/>
                <w:lang w:val="en-US"/>
              </w:rPr>
              <w:t xml:space="preserve">Gb</w:t>
            </w:r>
            <w:r>
              <w:rPr>
                <w:color w:val="auto"/>
                <w:shd w:val="clear" w:color="auto" w:fill="ffffff"/>
              </w:rPr>
              <w:t xml:space="preserve"> стандарт) или программное обеспечение записи данных (через </w:t>
            </w:r>
            <w:r>
              <w:rPr>
                <w:color w:val="auto"/>
                <w:shd w:val="clear" w:color="auto" w:fill="ffffff"/>
                <w:lang w:val="en-US"/>
              </w:rPr>
              <w:t xml:space="preserve">Bluetooth</w:t>
            </w:r>
            <w:r>
              <w:rPr>
                <w:color w:val="auto"/>
                <w:shd w:val="clear" w:color="auto" w:fill="ffffff"/>
              </w:rPr>
              <w:t xml:space="preserve"> </w:t>
            </w:r>
            <w:r>
              <w:rPr>
                <w:color w:val="auto"/>
                <w:shd w:val="clear" w:color="auto" w:fill="ffffff"/>
              </w:rPr>
              <w:t xml:space="preserve">или </w:t>
            </w:r>
            <w:r>
              <w:rPr>
                <w:color w:val="auto"/>
                <w:shd w:val="clear" w:color="auto" w:fill="ffffff"/>
                <w:lang w:val="en-US"/>
              </w:rPr>
              <w:t xml:space="preserve">USB</w:t>
            </w:r>
            <w:r>
              <w:rPr>
                <w:color w:val="auto"/>
                <w:shd w:val="clear" w:color="auto" w:fill="ffffff"/>
              </w:rPr>
              <w:t xml:space="preserve">);</w:t>
            </w:r>
            <w:r/>
          </w:p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  <w:rPr>
                <w:color w:val="auto"/>
              </w:rPr>
            </w:pPr>
            <w:r>
              <w:rPr>
                <w:color w:val="auto"/>
                <w:shd w:val="clear" w:color="auto" w:fill="ffffff"/>
              </w:rPr>
              <w:t xml:space="preserve">Режим записи данных: одиночный, режим зажима, серийный режим, режим «маршрут»;</w:t>
            </w:r>
            <w:r>
              <w:rPr>
                <w:color w:val="auto"/>
              </w:rPr>
            </w:r>
          </w:p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</w:pPr>
            <w:r>
              <w:rPr>
                <w:color w:val="auto"/>
                <w:shd w:val="clear" w:color="auto" w:fill="ffffff"/>
              </w:rPr>
              <w:t xml:space="preserve">Оптическая система; угол обзора 9°, настройка окуляра от -3,75 до +2,5 диоптрий</w:t>
            </w:r>
            <w:r>
              <w:t xml:space="preserve">;</w:t>
            </w:r>
            <w:r/>
          </w:p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</w:pPr>
            <w:r>
              <w:rPr>
                <w:color w:val="auto"/>
                <w:shd w:val="clear" w:color="auto" w:fill="ffffff"/>
              </w:rPr>
              <w:t xml:space="preserve">Температурный диапазон от 550 до 3000 °С</w:t>
            </w:r>
            <w:r>
              <w:t xml:space="preserve">;</w:t>
            </w:r>
            <w:r/>
          </w:p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</w:pPr>
            <w:r>
              <w:t xml:space="preserve">Разрешение 0,1 </w:t>
            </w:r>
            <w:r>
              <w:rPr>
                <w:color w:val="auto"/>
                <w:shd w:val="clear" w:color="auto" w:fill="ffffff"/>
              </w:rPr>
              <w:t xml:space="preserve">°С;</w:t>
            </w:r>
            <w:r/>
          </w:p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</w:pPr>
            <w:r>
              <w:rPr>
                <w:color w:val="auto"/>
                <w:shd w:val="clear" w:color="auto" w:fill="ffffff"/>
              </w:rPr>
              <w:t xml:space="preserve">Настройка степени черноты от 0,10 до 1,20 с шагом 0,01</w:t>
            </w:r>
            <w:r>
              <w:t xml:space="preserve">;</w:t>
            </w:r>
            <w:r/>
          </w:p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</w:pPr>
            <w:r>
              <w:t xml:space="preserve">Поле зрения 180:1 круговой;</w:t>
            </w:r>
            <w:r/>
          </w:p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  <w:rPr>
                <w:color w:val="auto"/>
              </w:rPr>
            </w:pPr>
            <w:r>
              <w:rPr>
                <w:color w:val="auto"/>
                <w:shd w:val="clear" w:color="auto" w:fill="ffffff"/>
              </w:rPr>
              <w:t xml:space="preserve">Время отклика 30 </w:t>
            </w:r>
            <w:r>
              <w:rPr>
                <w:color w:val="auto"/>
                <w:shd w:val="clear" w:color="auto" w:fill="ffffff"/>
              </w:rPr>
              <w:t xml:space="preserve">мс</w:t>
            </w:r>
            <w:r>
              <w:rPr>
                <w:color w:val="auto"/>
                <w:shd w:val="clear" w:color="auto" w:fill="ffffff"/>
              </w:rPr>
              <w:t xml:space="preserve">;</w:t>
            </w:r>
            <w:r>
              <w:rPr>
                <w:color w:val="auto"/>
              </w:rPr>
            </w:r>
          </w:p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  <w:rPr>
                <w:color w:val="auto"/>
              </w:rPr>
            </w:pPr>
            <w:r>
              <w:rPr>
                <w:color w:val="auto"/>
                <w:shd w:val="clear" w:color="auto" w:fill="ffffff"/>
              </w:rPr>
              <w:t xml:space="preserve">Время обновления дисплея 0,5 с;</w:t>
            </w:r>
            <w:r>
              <w:rPr>
                <w:color w:val="auto"/>
              </w:rPr>
            </w:r>
          </w:p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Вес 0,83 кг;</w:t>
            </w:r>
            <w:r>
              <w:rPr>
                <w:color w:val="auto"/>
              </w:rPr>
            </w:r>
          </w:p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Степень защиты </w:t>
            </w:r>
            <w:r>
              <w:rPr>
                <w:color w:val="auto"/>
                <w:lang w:val="en-US"/>
              </w:rPr>
              <w:t xml:space="preserve">IP </w:t>
            </w:r>
            <w:r>
              <w:rPr>
                <w:color w:val="auto"/>
              </w:rPr>
              <w:t xml:space="preserve">40;</w:t>
            </w:r>
            <w:r>
              <w:rPr>
                <w:color w:val="auto"/>
              </w:rPr>
            </w:r>
          </w:p>
          <w:p>
            <w:pPr>
              <w:pStyle w:val="632"/>
              <w:numPr>
                <w:ilvl w:val="0"/>
                <w:numId w:val="3"/>
              </w:numPr>
              <w:ind w:left="141" w:right="190" w:firstLine="0"/>
              <w:jc w:val="both"/>
              <w:rPr>
                <w:color w:val="auto"/>
              </w:rPr>
            </w:pPr>
            <w:r>
              <w:rPr>
                <w:color w:val="auto"/>
                <w:shd w:val="clear" w:color="auto" w:fill="ffffff"/>
              </w:rPr>
              <w:t xml:space="preserve">Дополнительные аксессуары</w:t>
            </w:r>
            <w:r>
              <w:rPr>
                <w:color w:val="auto"/>
                <w:shd w:val="clear" w:color="auto" w:fill="ffffff"/>
              </w:rPr>
              <w:t xml:space="preserve">, входящие в комплект: к</w:t>
            </w:r>
            <w:r>
              <w:rPr>
                <w:color w:val="auto"/>
                <w:shd w:val="clear" w:color="auto" w:fill="ffffff"/>
              </w:rPr>
              <w:t xml:space="preserve">рышка объектива, защитное окно/фильтр, батарея, ремешок для запястья, </w:t>
            </w:r>
            <w:r>
              <w:rPr>
                <w:color w:val="auto"/>
                <w:shd w:val="clear" w:color="auto" w:fill="ffffff"/>
              </w:rPr>
              <w:t xml:space="preserve">защитная крышка объектива, </w:t>
            </w:r>
            <w:r>
              <w:rPr>
                <w:color w:val="auto"/>
                <w:shd w:val="clear" w:color="auto" w:fill="ffffff"/>
                <w:lang w:val="en-US"/>
              </w:rPr>
              <w:t xml:space="preserve">USB</w:t>
            </w:r>
            <w:r>
              <w:rPr>
                <w:color w:val="auto"/>
                <w:shd w:val="clear" w:color="auto" w:fill="ffffff"/>
              </w:rPr>
              <w:t xml:space="preserve"> </w:t>
            </w:r>
            <w:r>
              <w:rPr>
                <w:color w:val="auto"/>
                <w:shd w:val="clear" w:color="auto" w:fill="ffffff"/>
              </w:rPr>
              <w:t xml:space="preserve">кабель, </w:t>
            </w:r>
            <w:bookmarkStart w:id="1" w:name="_GoBack"/>
            <w:r>
              <w:rPr>
                <w:color w:val="auto"/>
                <w:shd w:val="clear" w:color="auto" w:fill="ffffff"/>
                <w:lang w:val="en-US"/>
              </w:rPr>
              <w:t xml:space="preserve">CD</w:t>
            </w:r>
            <w:r>
              <w:rPr>
                <w:color w:val="auto"/>
                <w:shd w:val="clear" w:color="auto" w:fill="ffffff"/>
              </w:rPr>
              <w:t xml:space="preserve"> </w:t>
            </w:r>
            <w:r>
              <w:rPr>
                <w:color w:val="auto"/>
                <w:shd w:val="clear" w:color="auto" w:fill="ffffff"/>
              </w:rPr>
              <w:t xml:space="preserve">с </w:t>
            </w:r>
            <w:r>
              <w:rPr>
                <w:color w:val="auto"/>
                <w:shd w:val="clear" w:color="auto" w:fill="ffffff"/>
              </w:rPr>
              <w:t xml:space="preserve">демо</w:t>
            </w:r>
            <w:r>
              <w:rPr>
                <w:color w:val="auto"/>
                <w:shd w:val="clear" w:color="auto" w:fill="ffffff"/>
              </w:rPr>
              <w:t xml:space="preserve">-ПО для ПК</w:t>
            </w:r>
            <w:bookmarkEnd w:id="1"/>
            <w:r>
              <w:rPr>
                <w:color w:val="auto"/>
                <w:shd w:val="clear" w:color="auto" w:fill="ffffff"/>
              </w:rPr>
              <w:t xml:space="preserve">, инструкция по эксплуатации.</w:t>
            </w:r>
            <w:r>
              <w:rPr>
                <w:color w:val="auto"/>
              </w:rPr>
            </w:r>
          </w:p>
          <w:p>
            <w:pPr>
              <w:pStyle w:val="632"/>
              <w:ind w:left="141" w:right="190"/>
              <w:jc w:val="both"/>
            </w:pPr>
            <w:r/>
            <w:r/>
          </w:p>
        </w:tc>
        <w:tc>
          <w:tcPr>
            <w:shd w:val="clear" w:color="auto" w:fill="auto"/>
            <w:tcW w:w="747" w:type="pct"/>
            <w:vAlign w:val="center"/>
            <w:textDirection w:val="lrTb"/>
            <w:noWrap w:val="false"/>
          </w:tcPr>
          <w:p>
            <w:pPr>
              <w:pStyle w:val="631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4"/>
        </w:trPr>
        <w:tc>
          <w:tcPr>
            <w:shd w:val="clear" w:color="auto" w:fill="auto"/>
            <w:tcBorders>
              <w:right w:val="single" w:color="auto" w:sz="4" w:space="0"/>
            </w:tcBorders>
            <w:tcW w:w="243" w:type="pct"/>
            <w:vAlign w:val="center"/>
            <w:textDirection w:val="lrTb"/>
            <w:noWrap w:val="false"/>
          </w:tcPr>
          <w:p>
            <w:pPr>
              <w:pStyle w:val="631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321" w:type="pct"/>
            <w:vAlign w:val="center"/>
            <w:textDirection w:val="lrTb"/>
            <w:noWrap w:val="false"/>
          </w:tcPr>
          <w:p>
            <w:pPr>
              <w:pStyle w:val="632"/>
              <w:jc w:val="both"/>
              <w:rPr>
                <w:rFonts w:eastAsia="Cambria"/>
                <w:color w:val="auto"/>
              </w:rPr>
            </w:pPr>
            <w:r>
              <w:rPr>
                <w:rFonts w:eastAsia="Cambria"/>
                <w:color w:val="auto"/>
              </w:rPr>
              <w:t xml:space="preserve">Точность измерений</w:t>
            </w:r>
            <w:r>
              <w:rPr>
                <w:rFonts w:eastAsia="Cambria"/>
                <w:color w:val="auto"/>
              </w:rPr>
            </w:r>
          </w:p>
          <w:p>
            <w:pPr>
              <w:pStyle w:val="631"/>
              <w:rPr>
                <w:rFonts w:ascii="Times New Roman" w:hAnsi="Times New Roman" w:eastAsia="Cambria" w:cs="Times New Roman"/>
                <w:sz w:val="24"/>
                <w:szCs w:val="24"/>
              </w:rPr>
            </w:pPr>
            <w:r>
              <w:rPr>
                <w:rFonts w:ascii="Times New Roman" w:hAnsi="Times New Roman" w:eastAsia="Cambria" w:cs="Times New Roman"/>
                <w:sz w:val="24"/>
                <w:szCs w:val="24"/>
              </w:rPr>
            </w:r>
            <w:r>
              <w:rPr>
                <w:rFonts w:ascii="Times New Roman" w:hAnsi="Times New Roman" w:eastAsia="Cambria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689" w:type="pct"/>
            <w:vAlign w:val="center"/>
            <w:textDirection w:val="lrTb"/>
            <w:noWrap w:val="false"/>
          </w:tcPr>
          <w:p>
            <w:pPr>
              <w:pStyle w:val="631"/>
              <w:ind w:left="141" w:right="1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Пределы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погрешности измерений: не более 0,25% + 2 °Сот измеряемого значения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47" w:type="pct"/>
            <w:vAlign w:val="center"/>
            <w:textDirection w:val="lrTb"/>
            <w:noWrap w:val="false"/>
          </w:tcPr>
          <w:p>
            <w:pPr>
              <w:pStyle w:val="631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4"/>
        </w:trPr>
        <w:tc>
          <w:tcPr>
            <w:shd w:val="clear" w:color="auto" w:fill="auto"/>
            <w:tcBorders>
              <w:right w:val="single" w:color="auto" w:sz="4" w:space="0"/>
            </w:tcBorders>
            <w:tcW w:w="243" w:type="pct"/>
            <w:vAlign w:val="center"/>
            <w:textDirection w:val="lrTb"/>
            <w:noWrap w:val="false"/>
          </w:tcPr>
          <w:p>
            <w:pPr>
              <w:pStyle w:val="631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321" w:type="pct"/>
            <w:vAlign w:val="center"/>
            <w:textDirection w:val="lrTb"/>
            <w:noWrap w:val="false"/>
          </w:tcPr>
          <w:p>
            <w:pPr>
              <w:pStyle w:val="632"/>
              <w:rPr>
                <w:rFonts w:eastAsia="Cambria"/>
                <w:color w:val="auto"/>
              </w:rPr>
            </w:pPr>
            <w:r>
              <w:rPr>
                <w:rFonts w:eastAsia="Cambria"/>
                <w:color w:val="auto"/>
              </w:rPr>
              <w:t xml:space="preserve">Интерфейс</w:t>
            </w:r>
            <w:r>
              <w:rPr>
                <w:rFonts w:eastAsia="Cambria"/>
                <w:color w:val="auto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689" w:type="pct"/>
            <w:vAlign w:val="center"/>
            <w:textDirection w:val="lrTb"/>
            <w:noWrap w:val="false"/>
          </w:tcPr>
          <w:p>
            <w:pPr>
              <w:pStyle w:val="631"/>
              <w:ind w:left="141" w:right="190"/>
              <w:jc w:val="both"/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val="en-US"/>
              </w:rPr>
              <w:t xml:space="preserve">USB, Bluetooth</w:t>
            </w:r>
            <w:r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747" w:type="pct"/>
            <w:vAlign w:val="center"/>
            <w:textDirection w:val="lrTb"/>
            <w:noWrap w:val="false"/>
          </w:tcPr>
          <w:p>
            <w:pPr>
              <w:pStyle w:val="631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4"/>
        </w:trPr>
        <w:tc>
          <w:tcPr>
            <w:shd w:val="clear" w:color="auto" w:fill="auto"/>
            <w:tcBorders>
              <w:right w:val="single" w:color="auto" w:sz="4" w:space="0"/>
            </w:tcBorders>
            <w:tcW w:w="243" w:type="pct"/>
            <w:vAlign w:val="center"/>
            <w:textDirection w:val="lrTb"/>
            <w:noWrap w:val="false"/>
          </w:tcPr>
          <w:p>
            <w:pPr>
              <w:pStyle w:val="631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321" w:type="pct"/>
            <w:vAlign w:val="center"/>
            <w:textDirection w:val="lrTb"/>
            <w:noWrap w:val="false"/>
          </w:tcPr>
          <w:p>
            <w:pPr>
              <w:pStyle w:val="632"/>
              <w:ind w:right="143"/>
            </w:pPr>
            <w:r>
              <w:t xml:space="preserve">Панель управления и индикация</w:t>
            </w:r>
            <w:r/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689" w:type="pct"/>
            <w:vAlign w:val="center"/>
            <w:textDirection w:val="lrTb"/>
            <w:noWrap w:val="false"/>
          </w:tcPr>
          <w:p>
            <w:pPr>
              <w:ind w:left="141" w:right="190"/>
              <w:jc w:val="both"/>
              <w:spacing w:after="0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Дисплей: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Style w:val="637"/>
                <w:rFonts w:ascii="Times New Roman" w:hAnsi="Times New Roman"/>
                <w:lang w:val="ru-RU"/>
              </w:rPr>
              <w:t xml:space="preserve">5-ти </w:t>
            </w:r>
            <w:r>
              <w:rPr>
                <w:rStyle w:val="637"/>
                <w:rFonts w:ascii="Times New Roman" w:hAnsi="Times New Roman"/>
                <w:lang w:val="ru-RU"/>
              </w:rPr>
              <w:t xml:space="preserve">значный</w:t>
            </w:r>
            <w:r>
              <w:rPr>
                <w:rStyle w:val="637"/>
                <w:rFonts w:ascii="Times New Roman" w:hAnsi="Times New Roman"/>
                <w:lang w:val="ru-RU"/>
              </w:rPr>
              <w:t xml:space="preserve"> ЖК в видоискателе, внешний ЖК-дисплей с подсветкой</w:t>
            </w:r>
            <w:r>
              <w:rPr>
                <w:rFonts w:ascii="Times New Roman" w:hAnsi="Times New Roman"/>
                <w:lang w:val="ru-RU"/>
              </w:rPr>
              <w:t xml:space="preserve">;</w:t>
            </w:r>
            <w:r>
              <w:rPr>
                <w:rFonts w:ascii="Times New Roman" w:hAnsi="Times New Roman"/>
                <w:lang w:val="ru-RU"/>
              </w:rPr>
            </w:r>
          </w:p>
        </w:tc>
        <w:tc>
          <w:tcPr>
            <w:shd w:val="clear" w:color="auto" w:fill="auto"/>
            <w:tcW w:w="747" w:type="pct"/>
            <w:vAlign w:val="center"/>
            <w:textDirection w:val="lrTb"/>
            <w:noWrap w:val="false"/>
          </w:tcPr>
          <w:p>
            <w:pPr>
              <w:pStyle w:val="631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4"/>
        </w:trPr>
        <w:tc>
          <w:tcPr>
            <w:shd w:val="clear" w:color="auto" w:fill="auto"/>
            <w:tcBorders>
              <w:right w:val="single" w:color="auto" w:sz="4" w:space="0"/>
            </w:tcBorders>
            <w:tcW w:w="243" w:type="pct"/>
            <w:vAlign w:val="center"/>
            <w:textDirection w:val="lrTb"/>
            <w:noWrap w:val="false"/>
          </w:tcPr>
          <w:p>
            <w:pPr>
              <w:pStyle w:val="631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321" w:type="pct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eastAsiaTheme="minorHAnsi"/>
                <w:color w:val="000000"/>
                <w:lang w:val="ru-RU"/>
              </w:rPr>
              <w:t xml:space="preserve">Аппаратные характеристики</w:t>
            </w:r>
            <w:r>
              <w:rPr>
                <w:rFonts w:ascii="Times New Roman" w:hAnsi="Times New Roman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689" w:type="pct"/>
            <w:vAlign w:val="center"/>
            <w:textDirection w:val="lrTb"/>
            <w:noWrap w:val="false"/>
          </w:tcPr>
          <w:p>
            <w:pPr>
              <w:pStyle w:val="632"/>
              <w:ind w:left="141" w:right="190"/>
              <w:jc w:val="both"/>
            </w:pPr>
            <w:r>
              <w:rPr>
                <w:b/>
              </w:rPr>
              <w:t xml:space="preserve">Масса</w:t>
            </w:r>
            <w:r>
              <w:rPr>
                <w:b/>
              </w:rPr>
              <w:t xml:space="preserve"> (с элементом питания)</w:t>
            </w:r>
            <w:r>
              <w:t xml:space="preserve">: </w:t>
            </w:r>
            <w:r>
              <w:t xml:space="preserve">не более </w:t>
            </w:r>
            <w:r>
              <w:t xml:space="preserve">         </w:t>
            </w:r>
            <w:r>
              <w:t xml:space="preserve">830</w:t>
            </w:r>
            <w:r>
              <w:t xml:space="preserve"> </w:t>
            </w:r>
            <w:r>
              <w:t xml:space="preserve">г</w:t>
            </w:r>
            <w:r>
              <w:t xml:space="preserve">.;</w:t>
            </w:r>
            <w:r/>
          </w:p>
          <w:p>
            <w:pPr>
              <w:pStyle w:val="632"/>
              <w:ind w:left="141" w:right="190"/>
              <w:jc w:val="both"/>
            </w:pPr>
            <w:r>
              <w:rPr>
                <w:b/>
              </w:rPr>
              <w:t xml:space="preserve">Рабочая температура:</w:t>
            </w:r>
            <w:r>
              <w:t xml:space="preserve"> 0</w:t>
            </w:r>
            <w:r>
              <w:t xml:space="preserve"> ... +50</w:t>
            </w:r>
            <w:r>
              <w:t xml:space="preserve"> °C.</w:t>
            </w:r>
            <w:r/>
          </w:p>
        </w:tc>
        <w:tc>
          <w:tcPr>
            <w:shd w:val="clear" w:color="auto" w:fill="auto"/>
            <w:tcW w:w="747" w:type="pct"/>
            <w:vAlign w:val="center"/>
            <w:textDirection w:val="lrTb"/>
            <w:noWrap w:val="false"/>
          </w:tcPr>
          <w:p>
            <w:pPr>
              <w:pStyle w:val="631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4"/>
        </w:trPr>
        <w:tc>
          <w:tcPr>
            <w:shd w:val="clear" w:color="auto" w:fill="auto"/>
            <w:tcBorders>
              <w:right w:val="single" w:color="auto" w:sz="4" w:space="0"/>
            </w:tcBorders>
            <w:tcW w:w="243" w:type="pct"/>
            <w:vAlign w:val="center"/>
            <w:textDirection w:val="lrTb"/>
            <w:noWrap w:val="false"/>
          </w:tcPr>
          <w:p>
            <w:pPr>
              <w:pStyle w:val="631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321" w:type="pct"/>
            <w:vAlign w:val="center"/>
            <w:textDirection w:val="lrTb"/>
            <w:noWrap w:val="false"/>
          </w:tcPr>
          <w:p>
            <w:pPr>
              <w:pStyle w:val="632"/>
            </w:pPr>
            <w:r>
              <w:t xml:space="preserve">Требования к питанию</w:t>
            </w:r>
            <w:r/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689" w:type="pct"/>
            <w:vAlign w:val="center"/>
            <w:textDirection w:val="lrTb"/>
            <w:noWrap w:val="false"/>
          </w:tcPr>
          <w:p>
            <w:pPr>
              <w:pStyle w:val="632"/>
              <w:ind w:right="190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shd w:val="clear" w:color="auto" w:fill="f9f9f9"/>
              </w:rPr>
              <w:t xml:space="preserve">одна MN1604 / 6LR61 / PP3 батарея или USB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747" w:type="pct"/>
            <w:vAlign w:val="center"/>
            <w:textDirection w:val="lrTb"/>
            <w:noWrap w:val="false"/>
          </w:tcPr>
          <w:p>
            <w:pPr>
              <w:pStyle w:val="631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Ответственный исполнитель:</w:t>
      </w:r>
      <w:r>
        <w:rPr>
          <w:rFonts w:ascii="Times New Roman" w:hAnsi="Times New Roman"/>
          <w:b/>
          <w:lang w:val="ru-RU"/>
        </w:rPr>
      </w:r>
    </w:p>
    <w:p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Ведущий инженер</w:t>
      </w:r>
      <w:r>
        <w:rPr>
          <w:rFonts w:ascii="Times New Roman" w:hAnsi="Times New Roman"/>
          <w:lang w:val="ru-RU"/>
        </w:rPr>
        <w:t xml:space="preserve">           </w:t>
      </w:r>
      <w:r>
        <w:rPr>
          <w:rFonts w:ascii="Times New Roman" w:hAnsi="Times New Roman"/>
          <w:lang w:val="ru-RU"/>
        </w:rPr>
        <w:t xml:space="preserve">                              __________________</w:t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 xml:space="preserve">  </w:t>
      </w:r>
      <w:r>
        <w:rPr>
          <w:rFonts w:ascii="Times New Roman" w:hAnsi="Times New Roman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86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8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0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2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4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6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8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0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21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7"/>
    <w:next w:val="62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7"/>
    <w:next w:val="62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7"/>
    <w:next w:val="62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7"/>
    <w:next w:val="62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7"/>
    <w:next w:val="62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7"/>
    <w:next w:val="62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7"/>
    <w:next w:val="62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7"/>
    <w:next w:val="62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7"/>
    <w:next w:val="62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7"/>
    <w:next w:val="62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8"/>
    <w:link w:val="34"/>
    <w:uiPriority w:val="10"/>
    <w:rPr>
      <w:sz w:val="48"/>
      <w:szCs w:val="48"/>
    </w:rPr>
  </w:style>
  <w:style w:type="paragraph" w:styleId="36">
    <w:name w:val="Subtitle"/>
    <w:basedOn w:val="627"/>
    <w:next w:val="62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8"/>
    <w:link w:val="36"/>
    <w:uiPriority w:val="11"/>
    <w:rPr>
      <w:sz w:val="24"/>
      <w:szCs w:val="24"/>
    </w:rPr>
  </w:style>
  <w:style w:type="paragraph" w:styleId="38">
    <w:name w:val="Quote"/>
    <w:basedOn w:val="627"/>
    <w:next w:val="62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7"/>
    <w:next w:val="62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8"/>
    <w:link w:val="42"/>
    <w:uiPriority w:val="99"/>
  </w:style>
  <w:style w:type="paragraph" w:styleId="44">
    <w:name w:val="Footer"/>
    <w:basedOn w:val="62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8"/>
    <w:link w:val="44"/>
    <w:uiPriority w:val="99"/>
  </w:style>
  <w:style w:type="paragraph" w:styleId="46">
    <w:name w:val="Caption"/>
    <w:basedOn w:val="627"/>
    <w:next w:val="62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8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8"/>
    <w:uiPriority w:val="99"/>
    <w:unhideWhenUsed/>
    <w:rPr>
      <w:vertAlign w:val="superscript"/>
    </w:rPr>
  </w:style>
  <w:style w:type="paragraph" w:styleId="178">
    <w:name w:val="endnote text"/>
    <w:basedOn w:val="62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8"/>
    <w:uiPriority w:val="99"/>
    <w:semiHidden/>
    <w:unhideWhenUsed/>
    <w:rPr>
      <w:vertAlign w:val="superscript"/>
    </w:rPr>
  </w:style>
  <w:style w:type="paragraph" w:styleId="181">
    <w:name w:val="toc 1"/>
    <w:basedOn w:val="627"/>
    <w:next w:val="62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7"/>
    <w:next w:val="62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7"/>
    <w:next w:val="62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7"/>
    <w:next w:val="62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7"/>
    <w:next w:val="62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7"/>
    <w:next w:val="62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7"/>
    <w:next w:val="62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7"/>
    <w:next w:val="62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7"/>
    <w:next w:val="62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7"/>
    <w:next w:val="627"/>
    <w:uiPriority w:val="99"/>
    <w:unhideWhenUsed/>
    <w:pPr>
      <w:spacing w:after="0" w:afterAutospacing="0"/>
    </w:pPr>
  </w:style>
  <w:style w:type="paragraph" w:styleId="627" w:default="1">
    <w:name w:val="Normal"/>
    <w:qFormat/>
    <w:pPr>
      <w:spacing w:after="200" w:line="240" w:lineRule="auto"/>
    </w:pPr>
    <w:rPr>
      <w:rFonts w:ascii="Cambria" w:hAnsi="Cambria" w:eastAsia="Cambria" w:cs="Times New Roman"/>
      <w:sz w:val="24"/>
      <w:szCs w:val="24"/>
      <w:lang w:val="en-US"/>
    </w:rPr>
  </w:style>
  <w:style w:type="character" w:styleId="628" w:default="1">
    <w:name w:val="Default Paragraph Font"/>
    <w:uiPriority w:val="1"/>
    <w:semiHidden/>
    <w:unhideWhenUsed/>
  </w:style>
  <w:style w:type="table" w:styleId="6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0" w:default="1">
    <w:name w:val="No List"/>
    <w:uiPriority w:val="99"/>
    <w:semiHidden/>
    <w:unhideWhenUsed/>
  </w:style>
  <w:style w:type="paragraph" w:styleId="631" w:customStyle="1">
    <w:name w:val="Table Paragraph"/>
    <w:basedOn w:val="627"/>
    <w:uiPriority w:val="1"/>
    <w:qFormat/>
    <w:pPr>
      <w:spacing w:after="0"/>
      <w:widowControl w:val="off"/>
    </w:pPr>
    <w:rPr>
      <w:rFonts w:ascii="Calibri" w:hAnsi="Calibri" w:eastAsia="Calibri" w:cs="Calibri"/>
      <w:sz w:val="22"/>
      <w:szCs w:val="22"/>
      <w:lang w:val="ru-RU"/>
    </w:rPr>
  </w:style>
  <w:style w:type="paragraph" w:styleId="632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633" w:customStyle="1">
    <w:name w:val="Con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634">
    <w:name w:val="List Paragraph"/>
    <w:basedOn w:val="627"/>
    <w:link w:val="635"/>
    <w:uiPriority w:val="34"/>
    <w:qFormat/>
    <w:pPr>
      <w:contextualSpacing/>
      <w:ind w:left="720"/>
      <w:spacing w:after="0"/>
    </w:pPr>
    <w:rPr>
      <w:rFonts w:ascii="Times New Roman" w:hAnsi="Times New Roman" w:eastAsia="Times New Roman"/>
      <w:lang w:val="ru-RU" w:eastAsia="ru-RU"/>
    </w:rPr>
  </w:style>
  <w:style w:type="character" w:styleId="635" w:customStyle="1">
    <w:name w:val="Абзац списка Знак"/>
    <w:link w:val="634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36">
    <w:name w:val="Normal (Web)"/>
    <w:basedOn w:val="627"/>
    <w:uiPriority w:val="99"/>
    <w:unhideWhenUsed/>
    <w:pPr>
      <w:spacing w:before="100" w:beforeAutospacing="1" w:after="100" w:afterAutospacing="1"/>
    </w:pPr>
    <w:rPr>
      <w:rFonts w:ascii="Times New Roman" w:hAnsi="Times New Roman" w:eastAsia="Times New Roman"/>
      <w:lang w:val="ru-RU" w:eastAsia="ru-RU"/>
    </w:rPr>
  </w:style>
  <w:style w:type="character" w:styleId="637" w:customStyle="1">
    <w:name w:val="js-prop-value"/>
    <w:basedOn w:val="628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Зимирев Максим Владимирович</dc:creator>
  <cp:keywords/>
  <dc:description/>
  <cp:lastModifiedBy>sergeeva_evl</cp:lastModifiedBy>
  <cp:revision>14</cp:revision>
  <dcterms:created xsi:type="dcterms:W3CDTF">2025-03-11T04:51:00Z</dcterms:created>
  <dcterms:modified xsi:type="dcterms:W3CDTF">2025-12-24T13:51:15Z</dcterms:modified>
</cp:coreProperties>
</file>